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4C" w:rsidRPr="00757681" w:rsidRDefault="00745E4C" w:rsidP="00745E4C">
      <w:pPr>
        <w:jc w:val="center"/>
        <w:rPr>
          <w:rFonts w:asciiTheme="majorEastAsia" w:eastAsiaTheme="majorEastAsia" w:hAnsiTheme="majorEastAsia" w:cstheme="majorEastAsia"/>
          <w:b/>
          <w:bCs/>
          <w:color w:val="FF0000"/>
          <w:sz w:val="44"/>
          <w:szCs w:val="44"/>
        </w:rPr>
      </w:pPr>
      <w:r w:rsidRPr="00757681">
        <w:rPr>
          <w:rFonts w:asciiTheme="majorEastAsia" w:eastAsiaTheme="majorEastAsia" w:hAnsiTheme="majorEastAsia" w:cstheme="majorEastAsia" w:hint="eastAsia"/>
          <w:b/>
          <w:bCs/>
          <w:color w:val="FF0000"/>
          <w:sz w:val="44"/>
          <w:szCs w:val="44"/>
        </w:rPr>
        <w:t>阜平县“双随机、一公开”工作简报</w:t>
      </w:r>
    </w:p>
    <w:p w:rsidR="00745E4C" w:rsidRPr="00757681" w:rsidRDefault="00745E4C" w:rsidP="00745E4C">
      <w:pPr>
        <w:jc w:val="center"/>
        <w:rPr>
          <w:rFonts w:ascii="楷体" w:eastAsia="楷体" w:hAnsi="楷体" w:cs="宋体"/>
          <w:color w:val="FF0000"/>
          <w:sz w:val="27"/>
          <w:szCs w:val="27"/>
        </w:rPr>
      </w:pPr>
      <w:r w:rsidRPr="00757681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（第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四</w:t>
      </w:r>
      <w:r w:rsidRPr="00757681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期）</w:t>
      </w:r>
      <w:r w:rsidRPr="00757681">
        <w:rPr>
          <w:rFonts w:ascii="楷体" w:eastAsia="楷体" w:hAnsi="楷体" w:cs="宋体" w:hint="eastAsia"/>
          <w:color w:val="FF0000"/>
          <w:sz w:val="27"/>
          <w:szCs w:val="27"/>
        </w:rPr>
        <w:t xml:space="preserve">       </w:t>
      </w:r>
    </w:p>
    <w:p w:rsidR="0078450A" w:rsidRDefault="00745E4C" w:rsidP="00745E4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 w:rsidRPr="00757681"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 xml:space="preserve">     </w:t>
      </w:r>
      <w:r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 xml:space="preserve">         </w:t>
      </w:r>
      <w:r w:rsidRPr="00757681"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 xml:space="preserve">                                    2021年</w:t>
      </w:r>
      <w:r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>8</w:t>
      </w:r>
      <w:r w:rsidRPr="00757681"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>月</w:t>
      </w:r>
      <w:r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>13</w:t>
      </w:r>
      <w:r w:rsidRPr="00757681">
        <w:rPr>
          <w:rFonts w:ascii="楷体" w:eastAsia="楷体" w:hAnsi="楷体" w:cs="宋体" w:hint="eastAsia"/>
          <w:color w:val="FF0000"/>
          <w:sz w:val="27"/>
          <w:szCs w:val="27"/>
          <w:u w:val="thick"/>
        </w:rPr>
        <w:t xml:space="preserve">日     </w:t>
      </w:r>
      <w:r>
        <w:rPr>
          <w:rFonts w:ascii="楷体" w:eastAsia="楷体" w:hAnsi="楷体" w:cs="宋体" w:hint="eastAsia"/>
          <w:sz w:val="27"/>
          <w:szCs w:val="27"/>
          <w:u w:val="thick"/>
        </w:rPr>
        <w:t xml:space="preserve">  </w:t>
      </w:r>
      <w:r w:rsidR="007856F8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 xml:space="preserve">主动公开—接受监督  </w:t>
      </w:r>
    </w:p>
    <w:p w:rsidR="0078450A" w:rsidRDefault="007856F8">
      <w:pPr>
        <w:spacing w:line="56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阜平县市场监管局诚邀人大代表、政协委员召开</w:t>
      </w:r>
    </w:p>
    <w:p w:rsidR="0078450A" w:rsidRDefault="007856F8">
      <w:pPr>
        <w:spacing w:line="56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“双随机、一公开”跨部门联合抽查现场会</w:t>
      </w:r>
    </w:p>
    <w:p w:rsidR="0078450A" w:rsidRDefault="007856F8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进一步优化营商环境，持续深化“放管服”改革，在严格执法的同时创造宽松包容的市场环境。阜平县“双随机、一公开”监管工作领导小组办公室着力在“抓规范、抓联合、抓精准、抓震慑力”上下功夫，全面加强协同监管常态化。</w:t>
      </w:r>
    </w:p>
    <w:p w:rsidR="0078450A" w:rsidRDefault="007856F8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422910</wp:posOffset>
            </wp:positionH>
            <wp:positionV relativeFrom="paragraph">
              <wp:posOffset>250825</wp:posOffset>
            </wp:positionV>
            <wp:extent cx="5217795" cy="3371215"/>
            <wp:effectExtent l="0" t="0" r="1905" b="635"/>
            <wp:wrapNone/>
            <wp:docPr id="3" name="图片 2" descr="现场抽取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现场抽取2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7795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56F8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2021年8月13日上午，在阜平县市场监督管理局四楼会议室召开阜平县“双随机、一公开”跨部门联合抽查现场会，县市场监管局、住房和城乡建设局、发展和改革局、地方金融监督局、医疗保障局、消防救援大队6个部门参会。</w:t>
      </w:r>
    </w:p>
    <w:p w:rsidR="0078450A" w:rsidRDefault="007856F8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313690</wp:posOffset>
            </wp:positionH>
            <wp:positionV relativeFrom="paragraph">
              <wp:posOffset>273685</wp:posOffset>
            </wp:positionV>
            <wp:extent cx="5417185" cy="3314700"/>
            <wp:effectExtent l="0" t="0" r="12065" b="0"/>
            <wp:wrapNone/>
            <wp:docPr id="4" name="图片 0" descr="现场抽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0" descr="现场抽取1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56F8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此次双随机抽查坚持阳光执法，主动接受监督。特邀县人大代表2名、政协委员2</w:t>
      </w:r>
      <w:r w:rsidR="00D73B39">
        <w:rPr>
          <w:rFonts w:ascii="仿宋" w:eastAsia="仿宋" w:hAnsi="仿宋" w:hint="eastAsia"/>
          <w:sz w:val="32"/>
          <w:szCs w:val="32"/>
        </w:rPr>
        <w:t>名</w:t>
      </w:r>
      <w:r>
        <w:rPr>
          <w:rFonts w:ascii="仿宋" w:eastAsia="仿宋" w:hAnsi="仿宋" w:hint="eastAsia"/>
          <w:sz w:val="32"/>
          <w:szCs w:val="32"/>
        </w:rPr>
        <w:t>对抽查全程进行记录和监督。为进一步提高双随机抽查工作的精准度，本次抽查与企业信用风险分级分类有机结合，对企业实施差异化抽查，严格落实《“双随机、一公开”监管工作规范》的要求，分别对建筑类、汽车销售类、拍卖类、投资类、药店、电子商务类企业进行抽查，共随机抽取企业25户、随机执法人员21人。</w:t>
      </w:r>
    </w:p>
    <w:p w:rsidR="0078450A" w:rsidRDefault="007856F8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抽查过程中，对各位代表提出的专业性问题现场进行解答，后期我们也将继续邀请代表全程参与实地检查，监督检查</w:t>
      </w:r>
      <w:r>
        <w:rPr>
          <w:rFonts w:ascii="仿宋" w:eastAsia="仿宋" w:hAnsi="仿宋" w:hint="eastAsia"/>
          <w:sz w:val="32"/>
          <w:szCs w:val="32"/>
        </w:rPr>
        <w:lastRenderedPageBreak/>
        <w:t>的全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过程，真正做到公开透明、“无事不扰”、“有事必查”。</w:t>
      </w: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450A">
      <w:pPr>
        <w:spacing w:after="0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</w:p>
    <w:p w:rsidR="0078450A" w:rsidRDefault="007856F8">
      <w:pPr>
        <w:spacing w:after="0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</w:t>
      </w:r>
    </w:p>
    <w:sectPr w:rsidR="0078450A" w:rsidSect="0078450A">
      <w:pgSz w:w="11906" w:h="16838"/>
      <w:pgMar w:top="1701" w:right="1474" w:bottom="1701" w:left="147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7A0" w:rsidRDefault="00A127A0" w:rsidP="00745E4C">
      <w:pPr>
        <w:spacing w:after="0"/>
      </w:pPr>
      <w:r>
        <w:separator/>
      </w:r>
    </w:p>
  </w:endnote>
  <w:endnote w:type="continuationSeparator" w:id="0">
    <w:p w:rsidR="00A127A0" w:rsidRDefault="00A127A0" w:rsidP="00745E4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7A0" w:rsidRDefault="00A127A0" w:rsidP="00745E4C">
      <w:pPr>
        <w:spacing w:after="0"/>
      </w:pPr>
      <w:r>
        <w:separator/>
      </w:r>
    </w:p>
  </w:footnote>
  <w:footnote w:type="continuationSeparator" w:id="0">
    <w:p w:rsidR="00A127A0" w:rsidRDefault="00A127A0" w:rsidP="00745E4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D31D50"/>
    <w:rsid w:val="00323B43"/>
    <w:rsid w:val="003D37D8"/>
    <w:rsid w:val="00426133"/>
    <w:rsid w:val="004358AB"/>
    <w:rsid w:val="00461F2F"/>
    <w:rsid w:val="006B74AB"/>
    <w:rsid w:val="00745E4C"/>
    <w:rsid w:val="0078450A"/>
    <w:rsid w:val="007856F8"/>
    <w:rsid w:val="008B7726"/>
    <w:rsid w:val="00A127A0"/>
    <w:rsid w:val="00AA559B"/>
    <w:rsid w:val="00D31D50"/>
    <w:rsid w:val="00D60709"/>
    <w:rsid w:val="00D73B39"/>
    <w:rsid w:val="033F1250"/>
    <w:rsid w:val="253020B3"/>
    <w:rsid w:val="45675F96"/>
    <w:rsid w:val="5C967C30"/>
    <w:rsid w:val="64E77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50A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450A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450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78450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78450A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78450A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8450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4</cp:revision>
  <dcterms:created xsi:type="dcterms:W3CDTF">2008-09-11T17:20:00Z</dcterms:created>
  <dcterms:modified xsi:type="dcterms:W3CDTF">2021-08-30T02:25:00Z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  <property fmtid="{D5CDD505-2E9C-101B-9397-08002B2CF9AE}" pid="3" name="ICV">
    <vt:lpwstr>DD1291D65A0248179B96FBBBA00DA6A5</vt:lpwstr>
  </property>
</Properties>
</file>